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Quarterly Report Q3</w:t>
      </w:r>
    </w:p>
    <w:p>
      <w:pPr>
        <w:pStyle w:val="Heading1"/>
      </w:pPr>
      <w:r>
        <w:t>1. Summary</w:t>
      </w:r>
    </w:p>
    <w:p>
      <w:r>
        <w:t xml:space="preserve">Revenue grew </w:t>
      </w:r>
      <w:r>
        <w:rPr>
          <w:b/>
        </w:rPr>
        <w:t>18%</w:t>
      </w:r>
      <w:r>
        <w:t xml:space="preserve"> compared to the previous quarter, driven by new customers in three regions.</w:t>
      </w:r>
    </w:p>
    <w:p>
      <w:pPr>
        <w:pStyle w:val="ListBullet"/>
      </w:pPr>
      <w:r>
        <w:t>New office opened in Singapore</w:t>
      </w:r>
    </w:p>
    <w:p>
      <w:pPr>
        <w:pStyle w:val="ListBullet"/>
      </w:pPr>
      <w:r>
        <w:t>Mobile app reached 50,000 users</w:t>
      </w:r>
    </w:p>
    <w:p>
      <w:pPr>
        <w:pStyle w:val="ListBullet"/>
      </w:pPr>
      <w:r>
        <w:t>Customer satisfaction at 94%</w:t>
      </w:r>
    </w:p>
    <w:p>
      <w:pPr>
        <w:pStyle w:val="Heading1"/>
      </w:pPr>
      <w:r>
        <w:t>2. Figures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Region</w:t>
            </w:r>
          </w:p>
        </w:tc>
        <w:tc>
          <w:tcPr>
            <w:tcW w:type="dxa" w:w="2880"/>
          </w:tcPr>
          <w:p>
            <w:r>
              <w:t>Revenue</w:t>
            </w:r>
          </w:p>
        </w:tc>
        <w:tc>
          <w:tcPr>
            <w:tcW w:type="dxa" w:w="2880"/>
          </w:tcPr>
          <w:p>
            <w:r>
              <w:t>Growth</w:t>
            </w:r>
          </w:p>
        </w:tc>
      </w:tr>
      <w:tr>
        <w:tc>
          <w:tcPr>
            <w:tcW w:type="dxa" w:w="2880"/>
          </w:tcPr>
          <w:p>
            <w:r>
              <w:t>Asia</w:t>
            </w:r>
          </w:p>
        </w:tc>
        <w:tc>
          <w:tcPr>
            <w:tcW w:type="dxa" w:w="2880"/>
          </w:tcPr>
          <w:p>
            <w:r>
              <w:t>$1.2M</w:t>
            </w:r>
          </w:p>
        </w:tc>
        <w:tc>
          <w:tcPr>
            <w:tcW w:type="dxa" w:w="2880"/>
          </w:tcPr>
          <w:p>
            <w:r>
              <w:t>+22%</w:t>
            </w:r>
          </w:p>
        </w:tc>
      </w:tr>
      <w:tr>
        <w:tc>
          <w:tcPr>
            <w:tcW w:type="dxa" w:w="2880"/>
          </w:tcPr>
          <w:p>
            <w:r>
              <w:t>Europe</w:t>
            </w:r>
          </w:p>
        </w:tc>
        <w:tc>
          <w:tcPr>
            <w:tcW w:type="dxa" w:w="2880"/>
          </w:tcPr>
          <w:p>
            <w:r>
              <w:t>$0.9M</w:t>
            </w:r>
          </w:p>
        </w:tc>
        <w:tc>
          <w:tcPr>
            <w:tcW w:type="dxa" w:w="2880"/>
          </w:tcPr>
          <w:p>
            <w:r>
              <w:t>+15%</w:t>
            </w:r>
          </w:p>
        </w:tc>
      </w:tr>
      <w:tr>
        <w:tc>
          <w:tcPr>
            <w:tcW w:type="dxa" w:w="2880"/>
          </w:tcPr>
          <w:p>
            <w:r>
              <w:t>Americas</w:t>
            </w:r>
          </w:p>
        </w:tc>
        <w:tc>
          <w:tcPr>
            <w:tcW w:type="dxa" w:w="2880"/>
          </w:tcPr>
          <w:p>
            <w:r>
              <w:t>$1.4M</w:t>
            </w:r>
          </w:p>
        </w:tc>
        <w:tc>
          <w:tcPr>
            <w:tcW w:type="dxa" w:w="2880"/>
          </w:tcPr>
          <w:p>
            <w:r>
              <w:t>+17%</w:t>
            </w:r>
          </w:p>
        </w:tc>
      </w:tr>
    </w:tbl>
    <w:p>
      <w:pPr>
        <w:pStyle w:val="Heading1"/>
      </w:pPr>
      <w:r>
        <w:t>3. Next steps</w:t>
      </w:r>
    </w:p>
    <w:p>
      <w:pPr>
        <w:pStyle w:val="ListNumber"/>
      </w:pPr>
      <w:r>
        <w:t>Hire two engineers</w:t>
      </w:r>
    </w:p>
    <w:p>
      <w:pPr>
        <w:pStyle w:val="ListNumber"/>
      </w:pPr>
      <w:r>
        <w:t>Launch the iPad version</w:t>
      </w:r>
    </w:p>
    <w:p>
      <w:pPr>
        <w:pStyle w:val="ListNumber"/>
      </w:pPr>
      <w:r>
        <w:t>Review pricing</w:t>
      </w:r>
    </w:p>
    <w:p>
      <w:r>
        <w:drawing>
          <wp:inline xmlns:a="http://schemas.openxmlformats.org/drawingml/2006/main" xmlns:pic="http://schemas.openxmlformats.org/drawingml/2006/picture">
            <wp:extent cx="1097280" cy="1097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9728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ACME Corp — Quarterly Report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